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3C7ABF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КОНЦЕПЦИИ И МОДЕЛИ УСТОЙЧИВОГО ИННОВАЦИОННОГО РАЗВИТИЯ ОБЩЕСТВА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3C7ABF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мая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3C7ABF">
              <w:rPr>
                <w:rFonts w:ascii="Times New Roman" w:hAnsi="Times New Roman"/>
                <w:b/>
                <w:sz w:val="28"/>
              </w:rPr>
              <w:t>Волгоград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3C7ABF">
        <w:rPr>
          <w:rFonts w:ascii="Times New Roman" w:hAnsi="Times New Roman"/>
          <w:b/>
          <w:sz w:val="20"/>
          <w:szCs w:val="20"/>
        </w:rPr>
        <w:t>05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3C7ABF">
        <w:rPr>
          <w:rFonts w:ascii="Times New Roman" w:hAnsi="Times New Roman"/>
          <w:b/>
          <w:sz w:val="20"/>
          <w:szCs w:val="20"/>
        </w:rPr>
        <w:t>NK-408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3C7ABF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NK-408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3C7ABF">
      <w:rPr>
        <w:rFonts w:ascii="Times New Roman" w:hAnsi="Times New Roman"/>
        <w:b/>
        <w:noProof/>
        <w:spacing w:val="4"/>
        <w:sz w:val="14"/>
        <w:szCs w:val="16"/>
        <w:lang w:eastAsia="ru-RU"/>
      </w:rPr>
      <w:t>КОНЦЕПЦИИ И МОДЕЛИ УСТОЙЧИВОГО ИННОВАЦИОННОГО РАЗВИТИЯ ОБЩЕСТВА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C7ABF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8D5D0F-8777-4410-AD21-E1BF46E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