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D67A02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ПРОБЛЕМЫ И ПЕРСПЕКТИВЫ РАЗРАБОТКИ И ВНЕДРЕНИЯ ПЕРЕДОВЫХ ТЕХНОЛОГИЙ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D67A02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июня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D67A02">
              <w:rPr>
                <w:rFonts w:ascii="Times New Roman" w:hAnsi="Times New Roman"/>
                <w:b/>
                <w:sz w:val="28"/>
              </w:rPr>
              <w:t>Магнитогорск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D67A02">
        <w:rPr>
          <w:rFonts w:ascii="Times New Roman" w:hAnsi="Times New Roman"/>
          <w:b/>
          <w:sz w:val="20"/>
          <w:szCs w:val="20"/>
        </w:rPr>
        <w:t>10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D67A02">
        <w:rPr>
          <w:rFonts w:ascii="Times New Roman" w:hAnsi="Times New Roman"/>
          <w:b/>
          <w:sz w:val="20"/>
          <w:szCs w:val="20"/>
        </w:rPr>
        <w:t>NK-414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D67A02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 июня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D67A02">
      <w:rPr>
        <w:rFonts w:ascii="Times New Roman" w:hAnsi="Times New Roman"/>
        <w:b/>
        <w:noProof/>
        <w:spacing w:val="4"/>
        <w:sz w:val="14"/>
        <w:szCs w:val="16"/>
        <w:lang w:eastAsia="ru-RU"/>
      </w:rPr>
      <w:t>ПРОБЛЕМЫ И ПЕРСПЕКТИВЫ РАЗРАБОТКИ И ВНЕДРЕНИЯ ПЕРЕДОВЫХ ТЕХНОЛОГИЙ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67A02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D80C0E-1DC9-4897-A7D9-5689C30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